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4766" w14:textId="7DDC998C" w:rsidR="005638EE" w:rsidRPr="0001294A" w:rsidRDefault="0001294A" w:rsidP="00F61852">
      <w:pPr>
        <w:pStyle w:val="western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u w:val="single"/>
        </w:rPr>
      </w:pPr>
      <w:r w:rsidRPr="0001294A">
        <w:rPr>
          <w:rFonts w:ascii="Times New Roman" w:hAnsi="Times New Roman" w:cs="Times New Roman"/>
          <w:b/>
          <w:bCs/>
        </w:rPr>
        <w:tab/>
      </w:r>
      <w:r w:rsidRPr="0001294A">
        <w:rPr>
          <w:rFonts w:ascii="Times New Roman" w:hAnsi="Times New Roman" w:cs="Times New Roman"/>
          <w:b/>
          <w:bCs/>
          <w:u w:val="single"/>
        </w:rPr>
        <w:t>DECRETO Nº 2.587/2023, DE 01 DE DEZEMBRO DE 2023</w:t>
      </w:r>
    </w:p>
    <w:p w14:paraId="577C4B70" w14:textId="77777777" w:rsidR="0001294A" w:rsidRPr="00F71873" w:rsidRDefault="0001294A" w:rsidP="00F61852">
      <w:pPr>
        <w:pStyle w:val="western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14:paraId="60B1F16A" w14:textId="37736E91" w:rsidR="005638EE" w:rsidRPr="00F71873" w:rsidRDefault="005638EE" w:rsidP="00F61852">
      <w:pPr>
        <w:pStyle w:val="western"/>
        <w:shd w:val="clear" w:color="auto" w:fill="FFFFFF"/>
        <w:spacing w:before="0" w:beforeAutospacing="0" w:after="0" w:afterAutospacing="0" w:line="240" w:lineRule="auto"/>
        <w:ind w:left="4111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>Dispõe sobre os procedimentos a serem observados pelos órgãos e entidades da Administração Pública Municipal com vistas ao encerramento do exercício financeiro de 202</w:t>
      </w:r>
      <w:r w:rsidR="001264DE">
        <w:rPr>
          <w:rFonts w:ascii="Times New Roman" w:hAnsi="Times New Roman" w:cs="Times New Roman"/>
        </w:rPr>
        <w:t>3</w:t>
      </w:r>
    </w:p>
    <w:p w14:paraId="53F2D789" w14:textId="77777777" w:rsidR="005638EE" w:rsidRPr="00F71873" w:rsidRDefault="005638EE" w:rsidP="00597C9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3829B" w14:textId="77777777" w:rsidR="005638EE" w:rsidRPr="00F71873" w:rsidRDefault="005638EE" w:rsidP="00F61852">
      <w:pPr>
        <w:spacing w:before="0"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  <w:t>ANILDO COSTELLA</w:t>
      </w:r>
      <w:r w:rsidRPr="00F71873">
        <w:rPr>
          <w:rFonts w:ascii="Times New Roman" w:hAnsi="Times New Roman" w:cs="Times New Roman"/>
          <w:sz w:val="24"/>
          <w:szCs w:val="24"/>
        </w:rPr>
        <w:t xml:space="preserve">, Prefeito Municipal de Vila Lângaro, Estado do Rio Grande do Sul, no uso de suas atribuições que lhe confere a Lei Orgânica Municipal e, </w:t>
      </w:r>
    </w:p>
    <w:p w14:paraId="06F6340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disposições da Lei Complementar Federal nº 101, de 04 de maio de 2000, que estabelece normas de finanças voltadas para responsabilidade fiscal; </w:t>
      </w:r>
    </w:p>
    <w:p w14:paraId="2E35A69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disposições da Lei Federal nº 4.320, de 17 de março de 1964, que </w:t>
      </w:r>
      <w:r w:rsidR="0045734B" w:rsidRPr="00F71873">
        <w:rPr>
          <w:rFonts w:ascii="Times New Roman" w:hAnsi="Times New Roman" w:cs="Times New Roman"/>
          <w:sz w:val="24"/>
          <w:szCs w:val="24"/>
        </w:rPr>
        <w:t>institui</w:t>
      </w:r>
      <w:r w:rsidRPr="00F71873">
        <w:rPr>
          <w:rFonts w:ascii="Times New Roman" w:hAnsi="Times New Roman" w:cs="Times New Roman"/>
          <w:sz w:val="24"/>
          <w:szCs w:val="24"/>
        </w:rPr>
        <w:t xml:space="preserve"> normas gerais de Direito Financeiro para elaboração e controle dos orçamentos e balanços da União, dos Estados, dos Municípios e do Distrito Federal;</w:t>
      </w:r>
    </w:p>
    <w:p w14:paraId="5B459AD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CONSIDERANDO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o disposto na Resolução do Tribunal de Contas do Estado nº 1.134/2020, que </w:t>
      </w:r>
      <w:r w:rsidRPr="00F71873">
        <w:rPr>
          <w:rFonts w:ascii="Times New Roman" w:hAnsi="Times New Roman" w:cs="Times New Roman"/>
          <w:sz w:val="24"/>
          <w:szCs w:val="24"/>
        </w:rPr>
        <w:t xml:space="preserve">dispõe sobre os documentos que deverão ser entregues para exame das contas anuais e ordinárias da esfera municipal;  </w:t>
      </w:r>
    </w:p>
    <w:p w14:paraId="18531B94" w14:textId="77777777" w:rsidR="005638EE" w:rsidRPr="00F71873" w:rsidRDefault="005638EE" w:rsidP="00F61852">
      <w:pPr>
        <w:pStyle w:val="Textoembloco"/>
        <w:ind w:left="0" w:right="0"/>
      </w:pPr>
      <w:r w:rsidRPr="00F71873">
        <w:t xml:space="preserve"> </w:t>
      </w:r>
      <w:r w:rsidRPr="00F71873">
        <w:tab/>
        <w:t xml:space="preserve"> </w:t>
      </w:r>
      <w:r w:rsidRPr="00F71873">
        <w:tab/>
      </w:r>
      <w:r w:rsidRPr="00F71873">
        <w:tab/>
      </w:r>
      <w:r w:rsidRPr="00F71873">
        <w:rPr>
          <w:b/>
          <w:bCs/>
        </w:rPr>
        <w:t>CONSIDERANDO</w:t>
      </w:r>
      <w:r w:rsidRPr="00F71873">
        <w:t xml:space="preserve"> o disposto na Resolução do Tribunal de Contas do Estado nº 1.142/2021 que estabelece os critérios </w:t>
      </w:r>
      <w:r w:rsidR="0045734B" w:rsidRPr="00F71873">
        <w:t xml:space="preserve">a </w:t>
      </w:r>
      <w:r w:rsidRPr="00F71873">
        <w:t>serem observados na apreciação das contas anuais, para fins de emissão de parecer prévio, e no julgamento das contas dos administradores e demais responsáveis por bens e valores públicos da Administração Direta e Indireta e dá outras providências.</w:t>
      </w:r>
    </w:p>
    <w:p w14:paraId="4755C9F1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disposições da Instrução Normativa do Tribunal de Contas do Estado nº 18/2021, que d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ispõe sobre a publicação do Relatório Resumido da Execução Orçamentária (RREO) e do Relatório de Gestão Fiscal (RGF), bem como sobre a remessa das informações e dos dados dos órgãos e entes da esfera municipal, para os fins do exercício da fiscalização que lhe compete, nos termos da Lei Federal Complementar n°101, de 04 de maio de 2000; </w:t>
      </w:r>
    </w:p>
    <w:p w14:paraId="4130FFD6" w14:textId="5C1467FB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ab/>
        <w:t xml:space="preserve"> </w:t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  <w:b/>
          <w:bCs/>
        </w:rPr>
        <w:t>CONSIDERANDO</w:t>
      </w:r>
      <w:r w:rsidRPr="00F71873">
        <w:rPr>
          <w:rFonts w:ascii="Times New Roman" w:hAnsi="Times New Roman" w:cs="Times New Roman"/>
        </w:rPr>
        <w:t xml:space="preserve"> a necessidade de normatizar os procedimentos e estabelecer um cronograma de atividades e ações necessárias para o encerramento do exercício financeiro de 202</w:t>
      </w:r>
      <w:r w:rsidR="00333963">
        <w:rPr>
          <w:rFonts w:ascii="Times New Roman" w:hAnsi="Times New Roman" w:cs="Times New Roman"/>
        </w:rPr>
        <w:t>3</w:t>
      </w:r>
      <w:r w:rsidRPr="00F71873">
        <w:rPr>
          <w:rFonts w:ascii="Times New Roman" w:hAnsi="Times New Roman" w:cs="Times New Roman"/>
        </w:rPr>
        <w:t>, com vistas ao atendimento da legislação vigente,</w:t>
      </w:r>
    </w:p>
    <w:p w14:paraId="0FD3940E" w14:textId="77777777" w:rsidR="005638EE" w:rsidRPr="00F71873" w:rsidRDefault="005638EE" w:rsidP="00F61852">
      <w:pPr>
        <w:spacing w:before="0" w:after="0" w:line="240" w:lineRule="auto"/>
        <w:ind w:firstLine="3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3925C" w14:textId="77777777" w:rsidR="005638EE" w:rsidRPr="00F71873" w:rsidRDefault="005638EE" w:rsidP="00413A26">
      <w:pPr>
        <w:spacing w:before="0" w:after="0" w:line="240" w:lineRule="auto"/>
        <w:ind w:firstLine="33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  <w:t>DECRETA:</w:t>
      </w:r>
    </w:p>
    <w:p w14:paraId="2F72B2E2" w14:textId="77777777" w:rsidR="005638EE" w:rsidRPr="00F71873" w:rsidRDefault="005638EE" w:rsidP="00F61852">
      <w:pPr>
        <w:spacing w:before="0"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p w14:paraId="5E454B50" w14:textId="77777777" w:rsidR="005638EE" w:rsidRPr="00F71873" w:rsidRDefault="005638EE" w:rsidP="00413A26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  <w:t>CAPÍTULO I</w:t>
      </w:r>
    </w:p>
    <w:p w14:paraId="23671348" w14:textId="77777777" w:rsidR="005638EE" w:rsidRPr="00F71873" w:rsidRDefault="005638EE" w:rsidP="00413A26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ab/>
        <w:t>DAS DISPOSIÇÕES GERAIS</w:t>
      </w:r>
    </w:p>
    <w:p w14:paraId="445B751E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 </w:t>
      </w:r>
    </w:p>
    <w:p w14:paraId="08A985D2" w14:textId="6C3E7269" w:rsidR="00597C9A" w:rsidRDefault="005638EE" w:rsidP="00597C9A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disposições deste Decreto visam atender às normas de Direito Financeiro previstas na legislação vigente bem como cumprimento dos prazos legais estabelecidos para a elaboração e divulgação de demonstrativos contábeis consolidados, e propiciam a disponibilização de informações necessárias à prestação de contas anual do exercício financeiro de 202</w:t>
      </w:r>
      <w:r w:rsidR="00333963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>.</w:t>
      </w:r>
    </w:p>
    <w:p w14:paraId="7E432A03" w14:textId="22754A21" w:rsidR="005638EE" w:rsidRPr="00F71873" w:rsidRDefault="005638EE" w:rsidP="00597C9A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71AFAF5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 cronograma de atividades e as datas a serem observadas na execução orçamentária, financeira e patrimonial são as seguintes:</w:t>
      </w:r>
    </w:p>
    <w:p w14:paraId="7BE7BA2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6366"/>
        <w:gridCol w:w="1785"/>
      </w:tblGrid>
      <w:tr w:rsidR="002F1021" w:rsidRPr="00F71873" w14:paraId="5C3F518A" w14:textId="77777777" w:rsidTr="00CD675B">
        <w:trPr>
          <w:trHeight w:val="375"/>
        </w:trPr>
        <w:tc>
          <w:tcPr>
            <w:tcW w:w="7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3DC967A" w14:textId="77777777" w:rsidR="005638EE" w:rsidRPr="00F71873" w:rsidRDefault="005638EE" w:rsidP="00A1689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0857DFE" w14:textId="77777777" w:rsidR="005638EE" w:rsidRPr="00F71873" w:rsidRDefault="005638EE" w:rsidP="00A1689B">
            <w:pPr>
              <w:spacing w:before="0" w:after="0" w:line="240" w:lineRule="auto"/>
              <w:ind w:left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Final</w:t>
            </w:r>
          </w:p>
        </w:tc>
      </w:tr>
      <w:tr w:rsidR="002F1021" w:rsidRPr="00F71873" w14:paraId="096629A1" w14:textId="77777777" w:rsidTr="00CD675B">
        <w:trPr>
          <w:trHeight w:val="375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7F3E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6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587F1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Encaminhamento de pedidos para abertura de créditos adicionais ao orçamento vigente. 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33FCEEE9" w14:textId="28282C79" w:rsidR="005638EE" w:rsidRPr="00F71873" w:rsidRDefault="005638EE" w:rsidP="00CD675B">
            <w:pPr>
              <w:spacing w:before="0"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/12/202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021" w:rsidRPr="00F71873" w14:paraId="4874A7E8" w14:textId="77777777" w:rsidTr="00CD675B">
        <w:trPr>
          <w:trHeight w:val="37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7B5D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6F2D5" w14:textId="77777777" w:rsidR="005638EE" w:rsidRPr="00F71873" w:rsidRDefault="005638EE" w:rsidP="00A1689B">
            <w:pPr>
              <w:spacing w:before="0" w:after="0" w:line="240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Data limite para registros de liquidação da despesa no sistema.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00FEC267" w14:textId="636606D7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70397D2B" w14:textId="77777777" w:rsidTr="00CD675B">
        <w:trPr>
          <w:trHeight w:val="37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A5BD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2A711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Data limite para a emissão do Boletim de Tesouraria do último dia útil do exercício.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4E500E18" w14:textId="4FDBA486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13AB4824" w14:textId="77777777" w:rsidTr="00CD675B">
        <w:trPr>
          <w:trHeight w:val="37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3BB4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478EC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Data limite para que os detentores de adiantamentos/suprimentos de fundos apresentem as respectivas prestações de contas.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468FBF50" w14:textId="13CA3946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26/12/202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021" w:rsidRPr="00F71873" w14:paraId="572A5D65" w14:textId="77777777" w:rsidTr="00CD675B">
        <w:trPr>
          <w:trHeight w:val="61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B4C05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02579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Poder Legislativo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devolva ao Poder Executivo os valores correspondentes às sobras de repasses não utilizados ou não comprometidos no exercício financeiro.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7DCA5BA2" w14:textId="3F80F380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28/12/202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021" w:rsidRPr="00F71873" w14:paraId="7822F47D" w14:textId="77777777" w:rsidTr="00CD675B">
        <w:trPr>
          <w:trHeight w:val="600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DDC29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3DD06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Poder Legislativo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encaminhe, para fins de consolidação, os demonstrativos e as informações contábeis relativas ao encerramento do exercício.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6442F7A2" w14:textId="55AC2CFE" w:rsidR="005638EE" w:rsidRPr="00F71873" w:rsidRDefault="001264D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38EE" w:rsidRPr="00F71873">
              <w:rPr>
                <w:rFonts w:ascii="Times New Roman" w:hAnsi="Times New Roman" w:cs="Times New Roman"/>
                <w:sz w:val="24"/>
                <w:szCs w:val="24"/>
              </w:rPr>
              <w:t>/12/202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021" w:rsidRPr="00F71873" w14:paraId="220DA21A" w14:textId="77777777" w:rsidTr="00CD675B">
        <w:trPr>
          <w:trHeight w:val="61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A5C2A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7EA1BB" w14:textId="77777777" w:rsidR="005638EE" w:rsidRPr="00F71873" w:rsidRDefault="005638EE" w:rsidP="002F1021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a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Secretaria </w:t>
            </w:r>
            <w:r w:rsidR="002F1021"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Finanças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envie ao Setor de Contabilidade as informações necessárias sobre os empenhos do exercício que deverão ser inscritos em restos a pagar processados e não processados, bem como a relação daqueles inscritos em anos anteriores que poderão ser baixados por prescrição, anulação ou cancelamento de empenhos.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0D0F611F" w14:textId="6763ECC4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4601F3D1" w14:textId="77777777" w:rsidTr="00CD675B">
        <w:trPr>
          <w:trHeight w:val="85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08FFF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0E73B" w14:textId="77777777" w:rsidR="005638EE" w:rsidRPr="00F71873" w:rsidRDefault="005638EE" w:rsidP="00A168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Setor de Tributação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encaminhe, por escrito, ao Setor de Contabilidade: </w:t>
            </w:r>
          </w:p>
          <w:p w14:paraId="046381C1" w14:textId="4A8FEB29" w:rsidR="005638EE" w:rsidRPr="00F71873" w:rsidRDefault="005638EE" w:rsidP="00A168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   a) os valores a Serem Inscritos na Dívida Ativa Tributária e Não Tributária do exercício de 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, detalhados por Tributo e/ou Crédito;</w:t>
            </w:r>
          </w:p>
          <w:p w14:paraId="78757689" w14:textId="62A3AE14" w:rsidR="005638EE" w:rsidRPr="00F71873" w:rsidRDefault="005638EE" w:rsidP="00176263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   b) a posição do estoque da</w:t>
            </w:r>
            <w:r w:rsidR="00176263"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Divida</w:t>
            </w:r>
            <w:proofErr w:type="spellEnd"/>
            <w:r w:rsidR="00176263"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Ativa no final do último dia útil de 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detalhado por Tributo e/ou Crédito.      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4D5160F8" w14:textId="314287C4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6526E80B" w14:textId="77777777" w:rsidTr="00CD675B">
        <w:trPr>
          <w:trHeight w:val="85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37E14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8A759" w14:textId="3FEAC0E1" w:rsidR="005638EE" w:rsidRPr="00F71873" w:rsidRDefault="005638EE" w:rsidP="00150EDB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Data limite para a disponibilização do orçamento de 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no sistema para fins início de registro dos atos e fatos relacionados à execução orçamentária da receita e da despesa.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7B78D240" w14:textId="215FC690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02/01/202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4C99B413" w14:textId="77777777" w:rsidTr="00CD675B">
        <w:trPr>
          <w:trHeight w:val="85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0E58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917B33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3E9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E6313" w14:textId="77777777" w:rsidR="005638EE" w:rsidRPr="00F71873" w:rsidRDefault="005638EE" w:rsidP="00176263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Setor de Contabilidade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enviar o Relatório de Validação e Encaminhamento (RVE), extraído do Programa Autenticador de Dados (PAD) do Sistema de Informações Para Auditoria e Prestação de Contas (SIAPC), contendo as informações relativas ao encerramento do exercício financeiro de 2022.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2A8BB489" w14:textId="347D2A88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30/01/202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1ADB8AB7" w14:textId="77777777" w:rsidTr="00A1689B">
        <w:trPr>
          <w:trHeight w:val="375"/>
        </w:trPr>
        <w:tc>
          <w:tcPr>
            <w:tcW w:w="844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E219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C15F2" w14:textId="77777777" w:rsidR="005638EE" w:rsidRPr="00F71873" w:rsidRDefault="005638EE" w:rsidP="00A1689B">
            <w:pPr>
              <w:spacing w:before="0" w:after="0" w:line="240" w:lineRule="auto"/>
              <w:ind w:left="49" w:right="12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setor de tesouraria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emita as conciliações bancárias, juntamente com os extratos probantes e o Anexo I da alínea “e” do Inciso IV, art. 2º da Resolução nº 1134/2020.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2362A834" w14:textId="5A3B1FA9" w:rsidR="005638EE" w:rsidRPr="00F71873" w:rsidRDefault="005638EE" w:rsidP="00A1689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12/01/202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52595618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4E5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07A705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774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7EB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F47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609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3A0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E8B8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1D44E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78BE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70B0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1A7A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909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C0C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4B5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1EAC" w14:textId="77777777" w:rsidR="005638EE" w:rsidRPr="00F71873" w:rsidRDefault="005638EE" w:rsidP="00150EDB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limite para que a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Administração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, encaminhe ao Setor de Contabilidade, o relatório circunstanciado do Prefeito sobre sua gestão, indicando o atingimento, ou não, das metas 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estabelecidas na Lei Orçamentária Anual, na Lei de Diretrizes Orçamentárias e no Plano Plurianual, contendo, também, informações físico-financeiras sobre os recursos aplicados:</w:t>
            </w:r>
          </w:p>
          <w:p w14:paraId="64BB6175" w14:textId="77777777" w:rsidR="005638EE" w:rsidRPr="00F71873" w:rsidRDefault="005638EE" w:rsidP="00150EDB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a) na Manutenção e Desenvolvimento do Ensino – MDE;</w:t>
            </w:r>
          </w:p>
          <w:p w14:paraId="0396BAF5" w14:textId="77777777" w:rsidR="005638EE" w:rsidRPr="00F71873" w:rsidRDefault="005638EE" w:rsidP="00150EDB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b) no Fundo de Manutenção e Desenvolvimento da Educação Básica e de Valorização dos Profissionais da Educação – FUNDEB;</w:t>
            </w:r>
          </w:p>
          <w:p w14:paraId="488F04F2" w14:textId="77777777" w:rsidR="005638EE" w:rsidRPr="00F71873" w:rsidRDefault="005638EE" w:rsidP="00176263">
            <w:pPr>
              <w:spacing w:before="0" w:after="0" w:line="240" w:lineRule="auto"/>
              <w:ind w:left="4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c) em Ações e Serviços Públicos de Saúde – ASPS (art. 2º, IV, letra “a”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BD9DBE" w14:textId="428BB87C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28/02/202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16473BCF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A8EA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684FCD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8F4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71B5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2CD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C503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653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5BA8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1F7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CD34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2DD8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64F3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A1EF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17A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521A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AEC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DC69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ED64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014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B712" w14:textId="77777777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a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Central de Controle Interno – UCCI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apresente os seguintes relatórios e pareceres:</w:t>
            </w:r>
          </w:p>
          <w:p w14:paraId="0E4A0E0D" w14:textId="77777777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 a) </w:t>
            </w:r>
            <w:r w:rsidRPr="00F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sobre as contas do ano anterior em que constem, no mínimo as informações exigidas pelo 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art. 2º, IV, letra “b” da Resolução nº 1.134/2020, do Tribunal de Contas do Estado;</w:t>
            </w:r>
          </w:p>
          <w:p w14:paraId="4A09BA66" w14:textId="77777777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 b) relativo à aplicação dos recursos vinculados à manutenção e ao desenvolvimento do ensino (art. 2º, IV, letra “i”, da Resolução nº 1.134/2020, do TCE/RS);</w:t>
            </w:r>
          </w:p>
          <w:p w14:paraId="7240C54D" w14:textId="77777777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     c) relativo à elaboração e execução do Plano de Saúde Plurianual; ao cumprimento das metas para a saúde estabelecidas na lei de diretrizes orçamentárias; à aplicação dos recursos mínimos em ações e serviços públicos de saúde, observadas as regras previstas nesta Lei Complementar; às transferências dos recursos aos Fundos de Saúde; à aplicação dos recursos vinculados ao SUS; à destinação dos recursos obtidos com a alienação de ativos adquiridos com recursos vinculados à saúde (art. 2º, IV, letra “l”,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DE0A8B" w14:textId="4F8D37B9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4860E8D9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2859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0EEC85C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25B9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FBCE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E04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165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3988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E5E7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C467" w14:textId="77777777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entrega, pelas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comissões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referidas no art. 17 deste decreto da cópia das atas de encerramento dos inventários de bens móveis, de bens de consumo e de valores em tesouraria, evidenciando a fidedignidade desses bens inventariados com os correspondentes registros contábeis, apontando as eventuais diferenças e as respectivas providências adotadas (art. 2º, IV, letra “c”,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3F9C6D" w14:textId="3D3C0980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12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034578FB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5D8F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043AB" w14:textId="77777777" w:rsidR="005638EE" w:rsidRPr="00F71873" w:rsidRDefault="005638EE" w:rsidP="00176263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Conselho Gestor do Regime Próprio de Previdência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, apresente o relatório contendo a análise das contas do RPPS, bem como a consignação de conformidade (ou não) de suas aplicações financeiras, de suas demonstrações contábeis e da manutenção do equilíbrio previsto em sua avaliação atuarial (art. 2º, IV, letra “g”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B0AF64" w14:textId="6B29B51E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4CAAE171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ED0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14:paraId="5817259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133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72F5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0782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2CC49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DFF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D41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92E67" w14:textId="66F09179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Conselho Municipal de Acompanhamento e Controle Social do Fundo de Manutenção e Desenvolvimento da Educação Básica e de Valorização dos Profissionais da Educação – FUNDEB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, previsto na Lei Federal nº 14.113/2020, encaminhe ao Setor de Contabilidade o relatório e parecer relativo à alocação e à aplicação dos recursos vinculados a esse Fundo no exercício de 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(art. 2º, IV, letra “h”,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95FA2A" w14:textId="00D16C34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60E62C1F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912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BA77A1B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0C7E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F778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8B3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A40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6B0D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B3F5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7681" w14:textId="60A06260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Conselho Municipal de Saúde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, previsto no artigo 77, § 3º, do Ato das Disposições Constitucionais Transitórias – ADCT – da Constituição Federal, encaminhe ao Setor de Contabilidade relatório e contendo a análise parecer relativo à alocação e à aplicação dos recursos vinculados às Ações e Serviços Públicos em Saúde no exercício de 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(art. 2º, IV, letra “k”,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A4E4B1" w14:textId="4E87BB0F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021" w:rsidRPr="00F71873" w14:paraId="794C6882" w14:textId="77777777" w:rsidTr="00CD675B">
        <w:trPr>
          <w:trHeight w:val="855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889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27FCED6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DAC1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175A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8720" w14:textId="77777777" w:rsidR="005638EE" w:rsidRPr="00F71873" w:rsidRDefault="005638EE" w:rsidP="00A168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4BAFA5" w14:textId="66C4EA80" w:rsidR="005638EE" w:rsidRPr="00F71873" w:rsidRDefault="005638EE" w:rsidP="00A1689B">
            <w:pPr>
              <w:spacing w:before="0" w:after="0" w:line="240" w:lineRule="auto"/>
              <w:ind w:hanging="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Data limite para que o responsável pela </w:t>
            </w:r>
            <w:r w:rsidRPr="00F7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Administração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encaminhe ao Setor de Contabilidade o quadro contendo a relação das tomadas de contas especiais instauradas no exercício de 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 xml:space="preserve"> (art. 2º, IV, letra “f”, da Resolução nº 1.134/2020, do TCE/RS).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DF853" w14:textId="0F555748" w:rsidR="005638EE" w:rsidRPr="00F71873" w:rsidRDefault="005638EE" w:rsidP="00CD675B">
            <w:pPr>
              <w:spacing w:before="0" w:after="0" w:line="240" w:lineRule="auto"/>
              <w:ind w:left="49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73">
              <w:rPr>
                <w:rFonts w:ascii="Times New Roman" w:hAnsi="Times New Roman" w:cs="Times New Roman"/>
                <w:sz w:val="24"/>
                <w:szCs w:val="24"/>
              </w:rPr>
              <w:t>28/02/202</w:t>
            </w:r>
            <w:r w:rsidR="00494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5233B3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 </w:t>
      </w:r>
      <w:r w:rsidRPr="00F71873">
        <w:rPr>
          <w:rFonts w:ascii="Times New Roman" w:hAnsi="Times New Roman" w:cs="Times New Roman"/>
        </w:rPr>
        <w:tab/>
      </w:r>
    </w:p>
    <w:p w14:paraId="0395FFDF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</w:t>
      </w:r>
    </w:p>
    <w:p w14:paraId="2C85B714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</w:t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  <w:b/>
          <w:bCs/>
        </w:rPr>
        <w:t>Parágrafo Único.</w:t>
      </w:r>
      <w:r w:rsidRPr="00F71873">
        <w:rPr>
          <w:rFonts w:ascii="Times New Roman" w:hAnsi="Times New Roman" w:cs="Times New Roman"/>
        </w:rPr>
        <w:t xml:space="preserve"> A não observância dos prazos dispostos neste artigo ensejará a apuração de responsabilidade de ordem funcional nos termos da legislação vigente, respeitados os princípios do contraditório e ampla defesa.</w:t>
      </w:r>
    </w:p>
    <w:p w14:paraId="20CD330E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14:paraId="7B2C5E89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</w:t>
      </w:r>
      <w:r w:rsidRPr="00F71873">
        <w:rPr>
          <w:rFonts w:ascii="Times New Roman" w:hAnsi="Times New Roman" w:cs="Times New Roman"/>
        </w:rPr>
        <w:tab/>
        <w:t xml:space="preserve"> </w:t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  <w:b/>
          <w:bCs/>
        </w:rPr>
        <w:t>Art. 3º</w:t>
      </w:r>
      <w:r w:rsidRPr="00F71873">
        <w:rPr>
          <w:rFonts w:ascii="Times New Roman" w:hAnsi="Times New Roman" w:cs="Times New Roman"/>
        </w:rPr>
        <w:t xml:space="preserve"> A partir da publicação deste Decreto e até a publicação do Balanço Geral do Município e sua remessa ao Tribunal de Contas do Estado, são consideradas urgentes e prioritárias as atividades vinculadas à execução orçamentária da receita e despesa, contabilidade e inventário em todos os órgãos e entidades da Administração Pública Municipal.</w:t>
      </w:r>
    </w:p>
    <w:p w14:paraId="7033AA09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 </w:t>
      </w:r>
      <w:r w:rsidRPr="00F71873">
        <w:rPr>
          <w:rFonts w:ascii="Times New Roman" w:hAnsi="Times New Roman" w:cs="Times New Roman"/>
        </w:rPr>
        <w:tab/>
      </w:r>
    </w:p>
    <w:p w14:paraId="090F1209" w14:textId="77777777" w:rsidR="005638EE" w:rsidRPr="00F71873" w:rsidRDefault="005638EE" w:rsidP="00F61852">
      <w:pPr>
        <w:pStyle w:val="western"/>
        <w:shd w:val="clear" w:color="auto" w:fill="FFFFFF"/>
        <w:tabs>
          <w:tab w:val="clear" w:pos="1701"/>
        </w:tabs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F71873">
        <w:rPr>
          <w:rFonts w:ascii="Times New Roman" w:hAnsi="Times New Roman" w:cs="Times New Roman"/>
        </w:rPr>
        <w:t xml:space="preserve"> </w:t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</w:rPr>
        <w:tab/>
      </w:r>
      <w:r w:rsidRPr="00F71873">
        <w:rPr>
          <w:rFonts w:ascii="Times New Roman" w:hAnsi="Times New Roman" w:cs="Times New Roman"/>
          <w:b/>
          <w:bCs/>
        </w:rPr>
        <w:t>§ 1º</w:t>
      </w:r>
      <w:r w:rsidRPr="00F71873">
        <w:rPr>
          <w:rFonts w:ascii="Times New Roman" w:hAnsi="Times New Roman" w:cs="Times New Roman"/>
        </w:rPr>
        <w:t xml:space="preserve"> Observados os prazos estabelecidos neste Decreto, compete aos dirigentes dos órgãos e entidades da Administração direta instituírem, observada a segregação de funções e conhecimento técnico específico, tantas comissões quantas forem necessárias para promover a apuração completa e conciliação dos valores em tesouraria, dos materiais em estoque, e dos bens patrimoniais móveis e imóveis.</w:t>
      </w:r>
    </w:p>
    <w:p w14:paraId="2233930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2F9B358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membros integrantes das comissões referidas no parágrafo anterior não receberão qualquer tipo de remuneração por sua atuação, sendo o exercício de suas atividades considerado de relevante interesse público.</w:t>
      </w:r>
    </w:p>
    <w:p w14:paraId="70613D4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9BB31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F2955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3AB17640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DO ENCERRAMENTO DO EXERCÍCIO</w:t>
      </w:r>
    </w:p>
    <w:p w14:paraId="45123CF5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I</w:t>
      </w:r>
    </w:p>
    <w:p w14:paraId="67B95652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Do Fechamento Orçamentário e Financeiro</w:t>
      </w:r>
    </w:p>
    <w:p w14:paraId="4C318764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 </w:t>
      </w:r>
    </w:p>
    <w:p w14:paraId="2323EDFB" w14:textId="6E3BE3A4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Para fins de encerramento do exercício fica fixada a data de 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26 de dezembro de 202</w:t>
      </w:r>
      <w:r w:rsidR="001264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 xml:space="preserve"> como último dia para empenhamento de despesas de todos os órgãos e entidades da Administração Municipal, para todas as fontes de recursos.</w:t>
      </w:r>
    </w:p>
    <w:p w14:paraId="346D8A2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695AD1F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Não se aplica o disposto no </w:t>
      </w:r>
      <w:r w:rsidRPr="00F71873">
        <w:rPr>
          <w:rFonts w:ascii="Times New Roman" w:hAnsi="Times New Roman" w:cs="Times New Roman"/>
          <w:i/>
          <w:iCs/>
          <w:sz w:val="24"/>
          <w:szCs w:val="24"/>
        </w:rPr>
        <w:t>caput </w:t>
      </w:r>
      <w:r w:rsidRPr="00F71873">
        <w:rPr>
          <w:rFonts w:ascii="Times New Roman" w:hAnsi="Times New Roman" w:cs="Times New Roman"/>
          <w:sz w:val="24"/>
          <w:szCs w:val="24"/>
        </w:rPr>
        <w:t>deste artigo às seguintes despesas, que poderão ser empenhadas até o último dia útil do exercício:</w:t>
      </w:r>
    </w:p>
    <w:p w14:paraId="5C34CC1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relativas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à folha de pagamento e respectivas obrigações patronais;</w:t>
      </w:r>
    </w:p>
    <w:p w14:paraId="70874BE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classificáveis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na função 28 – Encargos Especiais;</w:t>
      </w:r>
    </w:p>
    <w:p w14:paraId="1177AED1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necessárias à aplicação mínima de recursos constitucionalmente vinculados à Manutenção e Desenvolvimento do Ensino e às Ações e Serviços Públicos de Saúde;</w:t>
      </w:r>
    </w:p>
    <w:p w14:paraId="377A4FE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custeadas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com recursos recebidos oriundos de Transferências Voluntárias da União e do Estado bem como as suportadas com recursos provenientes de Operações de Crédito, com receita efetivamente arrecadada;</w:t>
      </w:r>
    </w:p>
    <w:p w14:paraId="6A594CA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decorrentes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de sentenças judiciais e respectivas custas, cujo pagamento tenha que ser efetuado até o final do exercício, na forma do art. 100 da Constituição da República;</w:t>
      </w:r>
    </w:p>
    <w:p w14:paraId="7EDE91C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destinadas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ao atendimento de situações de emergência ou de calamidade pública, quando assim forem expressamente declaradas em ato do Poder Executivo Municipal;</w:t>
      </w:r>
    </w:p>
    <w:p w14:paraId="3B8BB42C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as decorrentes de juros, encargos e amortização da dívida;</w:t>
      </w:r>
    </w:p>
    <w:p w14:paraId="798BC20A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 aquelas que, em caráter excepcional, forem expressamente autorizadas pelo Prefeito Municipal, observado o disposto no inciso II do art. 50 da Lei Complementar federal nº 101, de 2000.</w:t>
      </w:r>
    </w:p>
    <w:p w14:paraId="019FF378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704C038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Observado o disposto no art. 168, § 2º, da Constituição Federal, o saldo dos recursos financeiros decorrentes de repasses ao Poder Legislativo deverá ser devolvido ao Poder Executivo até a data estabelecida neste Decreto.</w:t>
      </w:r>
    </w:p>
    <w:p w14:paraId="2F314AE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5C202A88" w14:textId="68DFB581" w:rsidR="005638EE" w:rsidRPr="00F71873" w:rsidRDefault="005638EE" w:rsidP="00FF57C3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71873">
        <w:rPr>
          <w:rFonts w:ascii="Times New Roman" w:hAnsi="Times New Roman" w:cs="Times New Roman"/>
          <w:sz w:val="24"/>
          <w:szCs w:val="24"/>
        </w:rPr>
        <w:t xml:space="preserve"> Transcorrida a data prevista no </w:t>
      </w:r>
      <w:r w:rsidRPr="00F71873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F71873">
        <w:rPr>
          <w:rFonts w:ascii="Times New Roman" w:hAnsi="Times New Roman" w:cs="Times New Roman"/>
          <w:sz w:val="24"/>
          <w:szCs w:val="24"/>
        </w:rPr>
        <w:t> deste artigo, sem que tenha havido a devolução dos saldos, a Contabilidade efetuará o registro da inscrição do repasse diferido. </w:t>
      </w:r>
    </w:p>
    <w:p w14:paraId="590C92F9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cheques e as ordens bancárias destinadas ao pagamento de despesas que devam se processar até o encerramento do exercício, independentemente da fonte de recurso, deverão ser emitidos até o encerramento do </w:t>
      </w:r>
      <w:r w:rsidR="00176263" w:rsidRPr="00F71873">
        <w:rPr>
          <w:rFonts w:ascii="Times New Roman" w:hAnsi="Times New Roman" w:cs="Times New Roman"/>
          <w:sz w:val="24"/>
          <w:szCs w:val="24"/>
        </w:rPr>
        <w:t>ú</w:t>
      </w:r>
      <w:r w:rsidRPr="00F71873">
        <w:rPr>
          <w:rFonts w:ascii="Times New Roman" w:hAnsi="Times New Roman" w:cs="Times New Roman"/>
          <w:sz w:val="24"/>
          <w:szCs w:val="24"/>
        </w:rPr>
        <w:t>ltimo boletim do exercício.</w:t>
      </w:r>
    </w:p>
    <w:p w14:paraId="526F460E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11DF5AA2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14:paraId="40A4C0A2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0B7EE125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Da inscrição em Restos a Pagar</w:t>
      </w:r>
    </w:p>
    <w:p w14:paraId="1D8FF733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2031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Observadas as respectivas fontes de recursos, serão inscritas em Restos a Pagar as despesas legalmente empenhadas e liquidadas e as despesas não-liquidadas, até o limite do saldo de disponibilidade financeira de cada fonte.</w:t>
      </w:r>
    </w:p>
    <w:p w14:paraId="40DEC84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3DB6026B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Para fins da apuração da disponibilidade financeira em cada fonte de recursos será observado, no que couber, o regramento estabelecido na Instrução Normativa nº 18/2021, do Tribunal de Contas do Estado ou na norma que lhe for superveniente. </w:t>
      </w:r>
    </w:p>
    <w:p w14:paraId="0A87864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0C384A76" w14:textId="2EB6C81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Em conformidade com o disposto no art. 50, inciso II, da Lei Complementar nº 101/2000, e para efeitos de inscrição em restos a pagar processados, serão consideradas liquidadas, ainda que pendentes de apresentação dos documentos fiscais, as despesas de competência do exercício financeiro de 202</w:t>
      </w:r>
      <w:r w:rsidR="004940BA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 xml:space="preserve"> relacionadas a:</w:t>
      </w:r>
    </w:p>
    <w:p w14:paraId="668D487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I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utilização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de serviços de água, esgoto, telefonia, acesso à internet, energia elétrica e serviços postais;</w:t>
      </w:r>
    </w:p>
    <w:p w14:paraId="5521CE8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II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contratos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cujo objeto ou parcela deste seja cumprido e atestado pela Administração Municipal até o último dia útil do exercício, tais como aluguéis, prestação de serviços de forma continuada, consultorias, obras e instalações, locação de equipamentos e utilização de programas de informática.</w:t>
      </w:r>
    </w:p>
    <w:p w14:paraId="0CFCEDF5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5E418C7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3º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Eventual diferença entre os valores efetivamente devidos e os que forem liquidados com base no parágrafo anterior serão objeto de ajuste no próximo exercício, complementando-se ou cancelando-se os empenhos, conforme o caso.</w:t>
      </w:r>
    </w:p>
    <w:p w14:paraId="13B6C7D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3A53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despesas não-liquidadas e não-inscritas em Restos a Pagar</w:t>
      </w:r>
      <w:r w:rsidRPr="00F71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>por falta de disponibilidade de caixa terão seus empenhos estornados.</w:t>
      </w:r>
    </w:p>
    <w:p w14:paraId="0A537D5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C1765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Art. 9º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É vedada a inscrição em </w:t>
      </w:r>
      <w:r w:rsidRPr="00F71873">
        <w:rPr>
          <w:rFonts w:ascii="Times New Roman" w:hAnsi="Times New Roman" w:cs="Times New Roman"/>
          <w:b/>
          <w:bCs/>
          <w:snapToGrid w:val="0"/>
          <w:sz w:val="24"/>
          <w:szCs w:val="24"/>
        </w:rPr>
        <w:t>Restos a Pagar Não-Processados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de despesas empenhadas para atendimento de:</w:t>
      </w:r>
    </w:p>
    <w:p w14:paraId="451A5EA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I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adiantamentos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em geral;</w:t>
      </w:r>
    </w:p>
    <w:p w14:paraId="1FADE1CB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II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diárias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de viagem;</w:t>
      </w:r>
    </w:p>
    <w:p w14:paraId="6CBBFA44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>III – transferência de recursos sob a forma de subvenções, contribuições ou auxílios;</w:t>
      </w:r>
    </w:p>
    <w:p w14:paraId="027CF48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IV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despesas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de pessoal em geral, ativo e inativo, e respectivos encargos sociais;</w:t>
      </w:r>
    </w:p>
    <w:p w14:paraId="0EBD68D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V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auxílios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e outros benefícios de natureza previdenciária ou assistencial;</w:t>
      </w:r>
    </w:p>
    <w:p w14:paraId="136C91E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VI – </w:t>
      </w:r>
      <w:proofErr w:type="gramStart"/>
      <w:r w:rsidRPr="00F71873">
        <w:rPr>
          <w:rFonts w:ascii="Times New Roman" w:hAnsi="Times New Roman" w:cs="Times New Roman"/>
          <w:snapToGrid w:val="0"/>
          <w:sz w:val="24"/>
          <w:szCs w:val="24"/>
        </w:rPr>
        <w:t>sentenças</w:t>
      </w:r>
      <w:proofErr w:type="gramEnd"/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judiciais;</w:t>
      </w:r>
    </w:p>
    <w:p w14:paraId="4725E41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>VII – indenizações e restituições de qualquer natureza;</w:t>
      </w:r>
    </w:p>
    <w:p w14:paraId="13AC47C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ab/>
        <w:t>VIII – contribuições ao PASEP.</w:t>
      </w:r>
    </w:p>
    <w:p w14:paraId="5349AB8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47246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604C57A3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14:paraId="6BCAE858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Do Cancelamento de Restos a Pagar de Exercícios Anteriores</w:t>
      </w:r>
    </w:p>
    <w:p w14:paraId="624079E5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E911ED4" w14:textId="53E58D9D" w:rsidR="005638EE" w:rsidRPr="00F71873" w:rsidRDefault="005638EE" w:rsidP="00F61852">
      <w:pPr>
        <w:pStyle w:val="Corpodetexto"/>
        <w:tabs>
          <w:tab w:val="clear" w:pos="1701"/>
          <w:tab w:val="clear" w:pos="2268"/>
          <w:tab w:val="clear" w:pos="2835"/>
          <w:tab w:val="clear" w:pos="3119"/>
          <w:tab w:val="clear" w:pos="4253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10.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saldos dos empenhos inscritos em Restos a Pagar Não-Processados até 31 de dezembro de 202</w:t>
      </w:r>
      <w:r w:rsidR="00333963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 xml:space="preserve"> serão anulados até o último dia útil de 202</w:t>
      </w:r>
      <w:r w:rsidR="00462B9B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>, desde que não se refiram a despesas em processo de liquidação.</w:t>
      </w:r>
    </w:p>
    <w:p w14:paraId="0058A6A7" w14:textId="77777777" w:rsidR="005638EE" w:rsidRPr="00F71873" w:rsidRDefault="005638EE" w:rsidP="00F61852">
      <w:pPr>
        <w:pStyle w:val="Corpodetexto"/>
        <w:tabs>
          <w:tab w:val="clear" w:pos="1701"/>
          <w:tab w:val="clear" w:pos="2268"/>
          <w:tab w:val="clear" w:pos="2835"/>
          <w:tab w:val="clear" w:pos="3119"/>
          <w:tab w:val="clear" w:pos="4253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63FDFCE7" w14:textId="77777777" w:rsidR="005638EE" w:rsidRPr="00F71873" w:rsidRDefault="005638EE" w:rsidP="00F61852">
      <w:pPr>
        <w:pStyle w:val="Corpodetexto"/>
        <w:tabs>
          <w:tab w:val="clear" w:pos="1701"/>
          <w:tab w:val="clear" w:pos="2268"/>
          <w:tab w:val="clear" w:pos="2835"/>
          <w:tab w:val="clear" w:pos="3119"/>
          <w:tab w:val="clear" w:pos="4253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71873">
        <w:rPr>
          <w:rFonts w:ascii="Times New Roman" w:hAnsi="Times New Roman" w:cs="Times New Roman"/>
          <w:sz w:val="24"/>
          <w:szCs w:val="24"/>
        </w:rPr>
        <w:t xml:space="preserve"> Considera-se em processo de liquidação, a despesa já empenhada, cuja obra, serviço ou material contratado já tenha sido executado, prestado ou entregue e que, no encerramento do exercício, ainda se encontre em fase de verificação do direito adquirido pelo credor.</w:t>
      </w:r>
    </w:p>
    <w:p w14:paraId="21DC1884" w14:textId="77777777" w:rsidR="005638EE" w:rsidRPr="00F71873" w:rsidRDefault="005638EE" w:rsidP="00F61852">
      <w:pPr>
        <w:pStyle w:val="Corpodetexto"/>
        <w:tabs>
          <w:tab w:val="clear" w:pos="1701"/>
          <w:tab w:val="clear" w:pos="2268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A545B7" w14:textId="3AACACB0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11.</w:t>
      </w:r>
      <w:r w:rsidRPr="00F71873">
        <w:rPr>
          <w:rFonts w:ascii="Times New Roman" w:hAnsi="Times New Roman" w:cs="Times New Roman"/>
          <w:sz w:val="24"/>
          <w:szCs w:val="24"/>
        </w:rPr>
        <w:t xml:space="preserve"> Desde que observado o disposto no Decreto Federal nº 20.910, de 06 de janeiro de 1932, o saldo de Restos a Pagar Processados inscritos até 31 de dezembro de 201</w:t>
      </w:r>
      <w:r w:rsidR="00462B9B">
        <w:rPr>
          <w:rFonts w:ascii="Times New Roman" w:hAnsi="Times New Roman" w:cs="Times New Roman"/>
          <w:sz w:val="24"/>
          <w:szCs w:val="24"/>
        </w:rPr>
        <w:t>8</w:t>
      </w:r>
      <w:r w:rsidRPr="00F71873">
        <w:rPr>
          <w:rFonts w:ascii="Times New Roman" w:hAnsi="Times New Roman" w:cs="Times New Roman"/>
          <w:sz w:val="24"/>
          <w:szCs w:val="24"/>
        </w:rPr>
        <w:t>, e não reclamado pelos respectivos credores, será baixado por prescrição no último dia útil de 202</w:t>
      </w:r>
      <w:r w:rsidR="00462B9B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>.</w:t>
      </w:r>
    </w:p>
    <w:p w14:paraId="46703514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1119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12.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restos a pagar cancelados na forma deste Decreto poderão, </w:t>
      </w:r>
      <w:r w:rsidRPr="00F71873">
        <w:rPr>
          <w:rFonts w:ascii="Times New Roman" w:hAnsi="Times New Roman" w:cs="Times New Roman"/>
          <w:snapToGrid w:val="0"/>
          <w:sz w:val="24"/>
          <w:szCs w:val="24"/>
        </w:rPr>
        <w:t>excepcionalmente, ser restabelecidos, desde que observadas, no que couber, as condições estabelecidas no art. 21 deste decreto.</w:t>
      </w:r>
    </w:p>
    <w:p w14:paraId="78FB9E3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1D389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13.</w:t>
      </w:r>
      <w:r w:rsidRPr="00F71873">
        <w:rPr>
          <w:rFonts w:ascii="Times New Roman" w:hAnsi="Times New Roman" w:cs="Times New Roman"/>
          <w:sz w:val="24"/>
          <w:szCs w:val="24"/>
        </w:rPr>
        <w:t xml:space="preserve"> Compete ao Secret</w:t>
      </w:r>
      <w:r w:rsidR="00B13A02" w:rsidRPr="00F71873">
        <w:rPr>
          <w:rFonts w:ascii="Times New Roman" w:hAnsi="Times New Roman" w:cs="Times New Roman"/>
          <w:sz w:val="24"/>
          <w:szCs w:val="24"/>
        </w:rPr>
        <w:t>á</w:t>
      </w:r>
      <w:r w:rsidRPr="00F71873">
        <w:rPr>
          <w:rFonts w:ascii="Times New Roman" w:hAnsi="Times New Roman" w:cs="Times New Roman"/>
          <w:sz w:val="24"/>
          <w:szCs w:val="24"/>
        </w:rPr>
        <w:t>rio d</w:t>
      </w:r>
      <w:r w:rsidR="00B13A02" w:rsidRPr="00F71873">
        <w:rPr>
          <w:rFonts w:ascii="Times New Roman" w:hAnsi="Times New Roman" w:cs="Times New Roman"/>
          <w:sz w:val="24"/>
          <w:szCs w:val="24"/>
        </w:rPr>
        <w:t>e</w:t>
      </w:r>
      <w:r w:rsidRPr="00F71873">
        <w:rPr>
          <w:rFonts w:ascii="Times New Roman" w:hAnsi="Times New Roman" w:cs="Times New Roman"/>
          <w:sz w:val="24"/>
          <w:szCs w:val="24"/>
        </w:rPr>
        <w:t xml:space="preserve"> F</w:t>
      </w:r>
      <w:r w:rsidR="00B13A02" w:rsidRPr="00F71873">
        <w:rPr>
          <w:rFonts w:ascii="Times New Roman" w:hAnsi="Times New Roman" w:cs="Times New Roman"/>
          <w:sz w:val="24"/>
          <w:szCs w:val="24"/>
        </w:rPr>
        <w:t>inanças</w:t>
      </w:r>
      <w:r w:rsidRPr="00F71873">
        <w:rPr>
          <w:rFonts w:ascii="Times New Roman" w:hAnsi="Times New Roman" w:cs="Times New Roman"/>
          <w:sz w:val="24"/>
          <w:szCs w:val="24"/>
        </w:rPr>
        <w:t>, observadas as disposições desta Seção, decidir e indicar por escrito ao Setor de Contabilidade, no prazo estabelecido neste Decreto, as inscrições em restos a pagar processados e não processados, bem como os casos de prescrição, anulação ou cancelamento de empenhos.</w:t>
      </w:r>
    </w:p>
    <w:p w14:paraId="434D1F1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E738D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IV</w:t>
      </w:r>
    </w:p>
    <w:p w14:paraId="3F93928F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Das Contas Bancárias</w:t>
      </w:r>
    </w:p>
    <w:p w14:paraId="1B6A437B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56AB883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14.</w:t>
      </w:r>
      <w:r w:rsidRPr="00F71873">
        <w:rPr>
          <w:rFonts w:ascii="Times New Roman" w:hAnsi="Times New Roman" w:cs="Times New Roman"/>
          <w:sz w:val="24"/>
          <w:szCs w:val="24"/>
        </w:rPr>
        <w:t xml:space="preserve"> Até final do exercício financeiro, o responsável pela tesouraria deverá levantar, nas instituições financeiras todas as contas bancárias ativas e inativas vinculadas a todos os Cadastros Nacionais de Pessoas Jurídicas (</w:t>
      </w:r>
      <w:proofErr w:type="spellStart"/>
      <w:r w:rsidRPr="00F71873">
        <w:rPr>
          <w:rFonts w:ascii="Times New Roman" w:hAnsi="Times New Roman" w:cs="Times New Roman"/>
          <w:sz w:val="24"/>
          <w:szCs w:val="24"/>
        </w:rPr>
        <w:t>CNPJs</w:t>
      </w:r>
      <w:proofErr w:type="spellEnd"/>
      <w:r w:rsidRPr="00F71873">
        <w:rPr>
          <w:rFonts w:ascii="Times New Roman" w:hAnsi="Times New Roman" w:cs="Times New Roman"/>
          <w:sz w:val="24"/>
          <w:szCs w:val="24"/>
        </w:rPr>
        <w:t>) vinculados ao Município, para fins de verificação e conciliação dos registros contábeis e para que se proceda à solicitação de encerramento das contas bancárias em desuso.</w:t>
      </w:r>
    </w:p>
    <w:p w14:paraId="0D95B193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42CA171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A partir do levantamento de que trata o </w:t>
      </w:r>
      <w:r w:rsidRPr="00F71873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F71873">
        <w:rPr>
          <w:rFonts w:ascii="Times New Roman" w:hAnsi="Times New Roman" w:cs="Times New Roman"/>
          <w:sz w:val="24"/>
          <w:szCs w:val="24"/>
        </w:rPr>
        <w:t> deste artigo, todos os recursos existentes nas contas bancárias deverão estar devidamente contabilizados, inclusive os recursos de terceiros que, transitoriamente, estejam em poder do Município.</w:t>
      </w:r>
    </w:p>
    <w:p w14:paraId="5DE49A28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25FAD15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recursos ingressados nas contas bancárias, cuja origem for desconhecida poderão, excepcionalmente, ser registrados como ingresso de natureza extraorçamentária na conta contábil 2.1.8.9.1.53.00.00.00 – Receitas a Classificar, até sua devida regularização.</w:t>
      </w:r>
    </w:p>
    <w:p w14:paraId="223DC429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B0C4C" w14:textId="01EE1132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15.</w:t>
      </w:r>
      <w:r w:rsidRPr="00F71873">
        <w:rPr>
          <w:rFonts w:ascii="Times New Roman" w:hAnsi="Times New Roman" w:cs="Times New Roman"/>
          <w:sz w:val="24"/>
          <w:szCs w:val="24"/>
        </w:rPr>
        <w:t xml:space="preserve"> Para fins de observância do regime de competência, os rendimentos de aplicações financeiras do exercício financeiro de 202</w:t>
      </w:r>
      <w:r w:rsidR="00462B9B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 xml:space="preserve">, bem como os recursos oriundos de outras receitas orçamentária, cujo valor somente possa ser conhecido após o último </w:t>
      </w:r>
      <w:r w:rsidRPr="00F71873">
        <w:rPr>
          <w:rFonts w:ascii="Times New Roman" w:hAnsi="Times New Roman" w:cs="Times New Roman"/>
          <w:sz w:val="24"/>
          <w:szCs w:val="24"/>
        </w:rPr>
        <w:lastRenderedPageBreak/>
        <w:t>dia útil de 202</w:t>
      </w:r>
      <w:r w:rsidR="00462B9B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>, poderão, excepcionalmente, ser registrados como receita orçamentária daquele exercício, até o dia 0</w:t>
      </w:r>
      <w:r w:rsidR="00462B9B">
        <w:rPr>
          <w:rFonts w:ascii="Times New Roman" w:hAnsi="Times New Roman" w:cs="Times New Roman"/>
          <w:sz w:val="24"/>
          <w:szCs w:val="24"/>
        </w:rPr>
        <w:t>8</w:t>
      </w:r>
      <w:r w:rsidRPr="00F71873">
        <w:rPr>
          <w:rFonts w:ascii="Times New Roman" w:hAnsi="Times New Roman" w:cs="Times New Roman"/>
          <w:sz w:val="24"/>
          <w:szCs w:val="24"/>
        </w:rPr>
        <w:t xml:space="preserve"> de janeiro de 202</w:t>
      </w:r>
      <w:r w:rsidR="00462B9B">
        <w:rPr>
          <w:rFonts w:ascii="Times New Roman" w:hAnsi="Times New Roman" w:cs="Times New Roman"/>
          <w:sz w:val="24"/>
          <w:szCs w:val="24"/>
        </w:rPr>
        <w:t>4</w:t>
      </w:r>
      <w:r w:rsidRPr="00F718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38A4F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DFC9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16.</w:t>
      </w:r>
      <w:r w:rsidRPr="00F71873">
        <w:rPr>
          <w:rFonts w:ascii="Times New Roman" w:hAnsi="Times New Roman" w:cs="Times New Roman"/>
          <w:sz w:val="24"/>
          <w:szCs w:val="24"/>
        </w:rPr>
        <w:t xml:space="preserve"> Compete aos responsáveis pelos serviços contábeis dos órgãos e das entidades da administração pública municipal realizar a conciliação de todas as contas bancárias sob sua responsabilidade, até o encerramento do exercício.</w:t>
      </w:r>
    </w:p>
    <w:p w14:paraId="2BDF6141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2C9E3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V</w:t>
      </w:r>
    </w:p>
    <w:p w14:paraId="0727EA0D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 xml:space="preserve">Do Inventário de Bens e Valores </w:t>
      </w:r>
    </w:p>
    <w:p w14:paraId="214AAD5F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48E9D54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17.</w:t>
      </w:r>
      <w:r w:rsidRPr="00F71873">
        <w:rPr>
          <w:rFonts w:ascii="Times New Roman" w:hAnsi="Times New Roman" w:cs="Times New Roman"/>
          <w:sz w:val="24"/>
          <w:szCs w:val="24"/>
        </w:rPr>
        <w:t xml:space="preserve"> Para fins de fechamento do Balanço Anual, serão designadas comissões compostas por servidores públicos, preferencialmente efetivos, para proceder ao inventário:</w:t>
      </w:r>
    </w:p>
    <w:p w14:paraId="4DA7CE5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-  dos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bens móveis permanentes existentes sob guarda ou responsabilidade do Município; </w:t>
      </w:r>
    </w:p>
    <w:p w14:paraId="39A4FA9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7187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bens existentes em almoxarifados;</w:t>
      </w:r>
    </w:p>
    <w:p w14:paraId="092E31C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71873">
        <w:rPr>
          <w:rFonts w:ascii="Times New Roman" w:hAnsi="Times New Roman" w:cs="Times New Roman"/>
          <w:sz w:val="24"/>
          <w:szCs w:val="24"/>
        </w:rPr>
        <w:t xml:space="preserve"> – dos valores em tesouraria.</w:t>
      </w:r>
    </w:p>
    <w:p w14:paraId="4C3928C3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47DDAFE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71873">
        <w:rPr>
          <w:rFonts w:ascii="Times New Roman" w:hAnsi="Times New Roman" w:cs="Times New Roman"/>
          <w:sz w:val="24"/>
          <w:szCs w:val="24"/>
        </w:rPr>
        <w:t>  A não realização dos inventários a que se referem os incisos I, II e III do </w:t>
      </w:r>
      <w:r w:rsidRPr="00F71873">
        <w:rPr>
          <w:rFonts w:ascii="Times New Roman" w:hAnsi="Times New Roman" w:cs="Times New Roman"/>
          <w:i/>
          <w:iCs/>
          <w:sz w:val="24"/>
          <w:szCs w:val="24"/>
        </w:rPr>
        <w:t>caput </w:t>
      </w:r>
      <w:r w:rsidRPr="00F71873">
        <w:rPr>
          <w:rFonts w:ascii="Times New Roman" w:hAnsi="Times New Roman" w:cs="Times New Roman"/>
          <w:sz w:val="24"/>
          <w:szCs w:val="24"/>
        </w:rPr>
        <w:t>no prazo que for estabelecido sujeitará os responsáveis às disposições do Parágrafo Único do art. 2º, deste Decreto.</w:t>
      </w:r>
    </w:p>
    <w:p w14:paraId="1EB15249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13AE848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18.</w:t>
      </w:r>
      <w:r w:rsidRPr="00F71873">
        <w:rPr>
          <w:rFonts w:ascii="Times New Roman" w:hAnsi="Times New Roman" w:cs="Times New Roman"/>
          <w:sz w:val="24"/>
          <w:szCs w:val="24"/>
        </w:rPr>
        <w:t xml:space="preserve"> A cópia das atas dos inventários firmadas pelos membros das comissões de que trata o artigo art. 17 deste Decreto e ratificada pelo Prefeito Municipal deverá compor a documentação do Balanço Anual.</w:t>
      </w:r>
    </w:p>
    <w:p w14:paraId="291FDA6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 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4609AE2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71873">
        <w:rPr>
          <w:rFonts w:ascii="Times New Roman" w:hAnsi="Times New Roman" w:cs="Times New Roman"/>
          <w:sz w:val="24"/>
          <w:szCs w:val="24"/>
        </w:rPr>
        <w:t xml:space="preserve"> Se na conclusão dos inventários forem constatadas inconsistências ou irregularidades, estas deverão ser claramente identificadas e encaminhadas à(s) autoridade(s) competente(s) para adoção das providências cabíveis.</w:t>
      </w:r>
    </w:p>
    <w:p w14:paraId="7C6BE69C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EEF3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512DB8EB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DAS DEMAIS DISPOSIÇÕES</w:t>
      </w:r>
    </w:p>
    <w:p w14:paraId="621BE4A3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631F362D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Da Apuração do Superávit ou Déficit Financeiro do Exercício</w:t>
      </w:r>
    </w:p>
    <w:p w14:paraId="3F6E4AF1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315F1C47" w14:textId="4A7C40D6" w:rsidR="005638EE" w:rsidRPr="00F71873" w:rsidRDefault="005638EE" w:rsidP="00FF57C3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19.</w:t>
      </w:r>
      <w:r w:rsidRPr="00F71873">
        <w:rPr>
          <w:rFonts w:ascii="Times New Roman" w:hAnsi="Times New Roman" w:cs="Times New Roman"/>
          <w:sz w:val="24"/>
          <w:szCs w:val="24"/>
        </w:rPr>
        <w:t xml:space="preserve"> Para fins de apuração do superávit financeiro de que trata o art. 43, I e § 2º, da Lei Federal nº 4.320/1964, ou eventual déficit financeiro, o saldo das disponibilidades deverá ser desdobrado por fonte de recurso, confrontadas com as respectivas obrigações, também por fonte de recurso.</w:t>
      </w:r>
    </w:p>
    <w:p w14:paraId="28CC92B5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20.</w:t>
      </w:r>
      <w:r w:rsidRPr="00F71873">
        <w:rPr>
          <w:rFonts w:ascii="Times New Roman" w:hAnsi="Times New Roman" w:cs="Times New Roman"/>
          <w:sz w:val="24"/>
          <w:szCs w:val="24"/>
        </w:rPr>
        <w:t xml:space="preserve"> As disponibilidades por fontes de recursos decorrentes de cancelamentos de Restos a Pagar e de outros passivos financeiros não reverterão à conta de superávit financeiro no mesmo exercício do cancelamento, salvo quando comprovada a ocorrência de eventos </w:t>
      </w:r>
      <w:proofErr w:type="spellStart"/>
      <w:r w:rsidRPr="00F71873">
        <w:rPr>
          <w:rFonts w:ascii="Times New Roman" w:hAnsi="Times New Roman" w:cs="Times New Roman"/>
          <w:sz w:val="24"/>
          <w:szCs w:val="24"/>
        </w:rPr>
        <w:t>subseqüentes</w:t>
      </w:r>
      <w:proofErr w:type="spellEnd"/>
      <w:r w:rsidRPr="00F71873">
        <w:rPr>
          <w:rFonts w:ascii="Times New Roman" w:hAnsi="Times New Roman" w:cs="Times New Roman"/>
          <w:sz w:val="24"/>
          <w:szCs w:val="24"/>
        </w:rPr>
        <w:t xml:space="preserve"> ao encerramento do balanço que justifiquem a revisão da apuração do superávit financeiro.</w:t>
      </w:r>
    </w:p>
    <w:p w14:paraId="4B24E519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 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6175C486" w14:textId="77777777" w:rsidR="005638EE" w:rsidRPr="00F71873" w:rsidRDefault="005638EE" w:rsidP="00F61852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13DB7" w14:textId="77777777" w:rsidR="005638EE" w:rsidRPr="00F71873" w:rsidRDefault="005638EE" w:rsidP="00F61852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10A98B0C" w14:textId="77777777" w:rsidR="005638EE" w:rsidRPr="00F71873" w:rsidRDefault="005638EE" w:rsidP="00F61852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Das Despesas de Exercícios Anteriores</w:t>
      </w:r>
    </w:p>
    <w:p w14:paraId="5347FEAF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269AD" w14:textId="2EA75F8D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21.</w:t>
      </w:r>
      <w:r w:rsidRPr="00F71873">
        <w:rPr>
          <w:rFonts w:ascii="Times New Roman" w:hAnsi="Times New Roman" w:cs="Times New Roman"/>
          <w:sz w:val="24"/>
          <w:szCs w:val="24"/>
        </w:rPr>
        <w:t xml:space="preserve"> Após o término do exercício de 202</w:t>
      </w:r>
      <w:r w:rsidR="004940BA">
        <w:rPr>
          <w:rFonts w:ascii="Times New Roman" w:hAnsi="Times New Roman" w:cs="Times New Roman"/>
          <w:sz w:val="24"/>
          <w:szCs w:val="24"/>
        </w:rPr>
        <w:t>3</w:t>
      </w:r>
      <w:r w:rsidRPr="00F71873">
        <w:rPr>
          <w:rFonts w:ascii="Times New Roman" w:hAnsi="Times New Roman" w:cs="Times New Roman"/>
          <w:sz w:val="24"/>
          <w:szCs w:val="24"/>
        </w:rPr>
        <w:t>, poderão ser reconhecidas e pagas por dotações para Despesas de Exercícios Anteriores, obedecida, sempre que possível, a ordem cronológica, as seguintes despesas:</w:t>
      </w:r>
    </w:p>
    <w:p w14:paraId="539CCD1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processadas em época própria, para as quais o orçamento respectivo consignava crédito próprio, com saldo suficiente para atendê-las;</w:t>
      </w:r>
    </w:p>
    <w:p w14:paraId="4175C56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Restos a Pagar com prescrição interrompida; </w:t>
      </w:r>
    </w:p>
    <w:p w14:paraId="5E21C6AB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71873">
        <w:rPr>
          <w:rFonts w:ascii="Times New Roman" w:hAnsi="Times New Roman" w:cs="Times New Roman"/>
          <w:sz w:val="24"/>
          <w:szCs w:val="24"/>
        </w:rPr>
        <w:t> – relativas a compromissos reconhecidos após o encerramento do exercício correspondente.</w:t>
      </w:r>
    </w:p>
    <w:p w14:paraId="50CF834F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 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IV – 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relativas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à complementação dos empenhos que forem liquidados com base no art. 7º, § 2º, deste Decreto.</w:t>
      </w:r>
    </w:p>
    <w:p w14:paraId="43ED4AD6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015CC51E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No caso dos incisos I, II e III do caput, os empenhos e os pagamentos à conta de Despesas de Exercícios Anteriores somente podem ser realizados quando houver processo protocolizado a autuado no órgão ou na entidade, contendo os seguintes elementos:</w:t>
      </w:r>
    </w:p>
    <w:p w14:paraId="5F02CD6A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reconhecimento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expresso da dívida pela autoridade competente;</w:t>
      </w:r>
    </w:p>
    <w:p w14:paraId="098F3A39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71873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Pr="00F71873">
        <w:rPr>
          <w:rFonts w:ascii="Times New Roman" w:hAnsi="Times New Roman" w:cs="Times New Roman"/>
          <w:sz w:val="24"/>
          <w:szCs w:val="24"/>
        </w:rPr>
        <w:t>manifestação</w:t>
      </w:r>
      <w:proofErr w:type="gramEnd"/>
      <w:r w:rsidRPr="00F71873">
        <w:rPr>
          <w:rFonts w:ascii="Times New Roman" w:hAnsi="Times New Roman" w:cs="Times New Roman"/>
          <w:sz w:val="24"/>
          <w:szCs w:val="24"/>
        </w:rPr>
        <w:t xml:space="preserve"> fundamentada da assessoria jurídica quanto à possibilidade e legalidade da realização do pagamento reclamado, além da análise quanto à ocorrência ou não de prescrição em favor da administração municipal, nos termos do Decreto Federal nº 20.910, de 06 de janeiro de 1932, e do Decreto-Lei Federal nº 4.597, de 19 de agosto de 1942; </w:t>
      </w:r>
    </w:p>
    <w:p w14:paraId="56B94C10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III </w:t>
      </w:r>
      <w:r w:rsidRPr="00F71873">
        <w:rPr>
          <w:rFonts w:ascii="Times New Roman" w:hAnsi="Times New Roman" w:cs="Times New Roman"/>
          <w:sz w:val="24"/>
          <w:szCs w:val="24"/>
        </w:rPr>
        <w:t>– autorização expressa do ordenador da despesa para que se efetue o empenho e o pagamento da dívida à conta de Despesas de Exercícios Anteriores.</w:t>
      </w:r>
    </w:p>
    <w:p w14:paraId="1DA7D3D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4A7774CA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O processo de que trata o § 1º deste artigo deverá ficar arquivado no órgão ou na entidade, à disposição dos órgãos de controle interno e externo.</w:t>
      </w:r>
    </w:p>
    <w:p w14:paraId="63C8495D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15B368C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F71873">
        <w:rPr>
          <w:rFonts w:ascii="Times New Roman" w:hAnsi="Times New Roman" w:cs="Times New Roman"/>
          <w:sz w:val="24"/>
          <w:szCs w:val="24"/>
        </w:rPr>
        <w:t xml:space="preserve"> Na realização de empenhos para pagamentos de Despesas de Exercícios Anteriores, devem ser observados, além das disponibilidades orçamentárias, os limites financeiros impostos por decreto de programação financeira e o cronograma de execução mensal de desembolso vigente.</w:t>
      </w:r>
    </w:p>
    <w:p w14:paraId="1EC754AA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007C457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14:paraId="25041B7E" w14:textId="77777777" w:rsidR="005638EE" w:rsidRPr="00F71873" w:rsidRDefault="005638EE" w:rsidP="00F64A10">
      <w:pPr>
        <w:spacing w:before="0"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F71873">
        <w:rPr>
          <w:rFonts w:ascii="Times New Roman" w:hAnsi="Times New Roman" w:cs="Times New Roman"/>
          <w:b/>
          <w:bCs/>
          <w:sz w:val="24"/>
          <w:szCs w:val="24"/>
        </w:rPr>
        <w:t>Disposições Finais</w:t>
      </w:r>
    </w:p>
    <w:p w14:paraId="299F7B1B" w14:textId="77777777" w:rsidR="005638EE" w:rsidRPr="00F71873" w:rsidRDefault="005638EE" w:rsidP="00F61852">
      <w:pPr>
        <w:spacing w:before="0"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 </w:t>
      </w:r>
    </w:p>
    <w:p w14:paraId="6642757A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22.</w:t>
      </w:r>
      <w:r w:rsidRPr="00F71873">
        <w:rPr>
          <w:rFonts w:ascii="Times New Roman" w:hAnsi="Times New Roman" w:cs="Times New Roman"/>
          <w:sz w:val="24"/>
          <w:szCs w:val="24"/>
        </w:rPr>
        <w:t xml:space="preserve"> O Poder Legislativo e os órgãos e entidades da Administração Indireta poderão, por ato próprio, constituir comissão encarregada de assegurar o cumprimento deste Decreto, em especial quanto à análise das despesas a serem inscritas em Restos a Pagar.</w:t>
      </w:r>
    </w:p>
    <w:p w14:paraId="1EA1ABC7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</w:p>
    <w:p w14:paraId="3B47BEB2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F71873">
        <w:rPr>
          <w:rFonts w:ascii="Times New Roman" w:hAnsi="Times New Roman" w:cs="Times New Roman"/>
          <w:sz w:val="24"/>
          <w:szCs w:val="24"/>
        </w:rPr>
        <w:t xml:space="preserve"> Os membros integrantes da comissão de que trata este artigo não receberão qualquer tipo de remuneração por sua atuação, sendo o exercício de suas atividades considerado de relevante interesse público.</w:t>
      </w:r>
    </w:p>
    <w:p w14:paraId="4A6B7E7E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18E07AB9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23.</w:t>
      </w:r>
      <w:r w:rsidRPr="00F71873">
        <w:rPr>
          <w:rFonts w:ascii="Times New Roman" w:hAnsi="Times New Roman" w:cs="Times New Roman"/>
          <w:sz w:val="24"/>
          <w:szCs w:val="24"/>
        </w:rPr>
        <w:t xml:space="preserve"> A inscrição de Restos a Pagar em desacordo com as disposições deste Decreto, quando comprovada a má fé, pode ensejar a instauração de Processo Administrativo Disciplinar (PAD) contra quem lhe der causa.</w:t>
      </w:r>
    </w:p>
    <w:p w14:paraId="76D0C19A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02C34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 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24.</w:t>
      </w:r>
      <w:r w:rsidRPr="00F71873">
        <w:rPr>
          <w:rFonts w:ascii="Times New Roman" w:hAnsi="Times New Roman" w:cs="Times New Roman"/>
          <w:sz w:val="24"/>
          <w:szCs w:val="24"/>
        </w:rPr>
        <w:t xml:space="preserve"> Fica delegada à Secretaria </w:t>
      </w:r>
      <w:r w:rsidR="00B13A02" w:rsidRPr="00F71873">
        <w:rPr>
          <w:rFonts w:ascii="Times New Roman" w:hAnsi="Times New Roman" w:cs="Times New Roman"/>
          <w:sz w:val="24"/>
          <w:szCs w:val="24"/>
        </w:rPr>
        <w:t>Finanças</w:t>
      </w:r>
      <w:r w:rsidRPr="00F71873">
        <w:rPr>
          <w:rFonts w:ascii="Times New Roman" w:hAnsi="Times New Roman" w:cs="Times New Roman"/>
          <w:sz w:val="24"/>
          <w:szCs w:val="24"/>
        </w:rPr>
        <w:t>, competência para edição de normas complementares que julgar necessárias ao fiel cumprimento deste Decreto, bem como para decidir sobre os casos não contemplados, que sobre eles emitirá parecer.</w:t>
      </w:r>
    </w:p>
    <w:p w14:paraId="38CC9916" w14:textId="77777777" w:rsidR="002F1021" w:rsidRPr="00F71873" w:rsidRDefault="002F1021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9C4CD" w14:textId="7DED4718" w:rsidR="002F1021" w:rsidRPr="00F71873" w:rsidRDefault="002F1021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 xml:space="preserve">Art. 25. </w:t>
      </w:r>
      <w:r w:rsidRPr="00F71873">
        <w:rPr>
          <w:rFonts w:ascii="Times New Roman" w:hAnsi="Times New Roman" w:cs="Times New Roman"/>
          <w:bCs/>
          <w:sz w:val="24"/>
          <w:szCs w:val="24"/>
        </w:rPr>
        <w:t>O atendimento externo ao público, junto a Secretaria de Finanças</w:t>
      </w:r>
      <w:r w:rsidR="00B13A02" w:rsidRPr="00F71873">
        <w:rPr>
          <w:rFonts w:ascii="Times New Roman" w:hAnsi="Times New Roman" w:cs="Times New Roman"/>
          <w:bCs/>
          <w:sz w:val="24"/>
          <w:szCs w:val="24"/>
        </w:rPr>
        <w:t xml:space="preserve"> encerra-se dia 2</w:t>
      </w:r>
      <w:r w:rsidR="00462B9B">
        <w:rPr>
          <w:rFonts w:ascii="Times New Roman" w:hAnsi="Times New Roman" w:cs="Times New Roman"/>
          <w:bCs/>
          <w:sz w:val="24"/>
          <w:szCs w:val="24"/>
        </w:rPr>
        <w:t>1</w:t>
      </w:r>
      <w:r w:rsidR="00B13A02" w:rsidRPr="00F71873">
        <w:rPr>
          <w:rFonts w:ascii="Times New Roman" w:hAnsi="Times New Roman" w:cs="Times New Roman"/>
          <w:bCs/>
          <w:sz w:val="24"/>
          <w:szCs w:val="24"/>
        </w:rPr>
        <w:t>/12/202</w:t>
      </w:r>
      <w:r w:rsidR="00462B9B">
        <w:rPr>
          <w:rFonts w:ascii="Times New Roman" w:hAnsi="Times New Roman" w:cs="Times New Roman"/>
          <w:bCs/>
          <w:sz w:val="24"/>
          <w:szCs w:val="24"/>
        </w:rPr>
        <w:t>3</w:t>
      </w:r>
      <w:r w:rsidR="00B13A02" w:rsidRPr="00F71873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F71873">
        <w:rPr>
          <w:rFonts w:ascii="Times New Roman" w:hAnsi="Times New Roman" w:cs="Times New Roman"/>
          <w:bCs/>
          <w:sz w:val="24"/>
          <w:szCs w:val="24"/>
        </w:rPr>
        <w:t>retorna</w:t>
      </w:r>
      <w:r w:rsidR="00B13A02" w:rsidRPr="00F71873">
        <w:rPr>
          <w:rFonts w:ascii="Times New Roman" w:hAnsi="Times New Roman" w:cs="Times New Roman"/>
          <w:bCs/>
          <w:sz w:val="24"/>
          <w:szCs w:val="24"/>
        </w:rPr>
        <w:t>ra</w:t>
      </w:r>
      <w:r w:rsidRPr="00F71873">
        <w:rPr>
          <w:rFonts w:ascii="Times New Roman" w:hAnsi="Times New Roman" w:cs="Times New Roman"/>
          <w:bCs/>
          <w:sz w:val="24"/>
          <w:szCs w:val="24"/>
        </w:rPr>
        <w:t xml:space="preserve"> dia </w:t>
      </w:r>
      <w:r w:rsidR="00462B9B">
        <w:rPr>
          <w:rFonts w:ascii="Times New Roman" w:hAnsi="Times New Roman" w:cs="Times New Roman"/>
          <w:bCs/>
          <w:sz w:val="24"/>
          <w:szCs w:val="24"/>
        </w:rPr>
        <w:t>15</w:t>
      </w:r>
      <w:r w:rsidRPr="00F71873">
        <w:rPr>
          <w:rFonts w:ascii="Times New Roman" w:hAnsi="Times New Roman" w:cs="Times New Roman"/>
          <w:bCs/>
          <w:sz w:val="24"/>
          <w:szCs w:val="24"/>
        </w:rPr>
        <w:t>/01/202</w:t>
      </w:r>
      <w:r w:rsidR="00462B9B">
        <w:rPr>
          <w:rFonts w:ascii="Times New Roman" w:hAnsi="Times New Roman" w:cs="Times New Roman"/>
          <w:bCs/>
          <w:sz w:val="24"/>
          <w:szCs w:val="24"/>
        </w:rPr>
        <w:t>4</w:t>
      </w:r>
      <w:r w:rsidRPr="00F718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9F9DDA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8292" w14:textId="37EBD3FC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F718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1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1873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14:paraId="2CD8F4BB" w14:textId="77777777" w:rsidR="005638EE" w:rsidRPr="00F71873" w:rsidRDefault="005638EE" w:rsidP="00F61852">
      <w:pPr>
        <w:tabs>
          <w:tab w:val="clear" w:pos="170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6DAC" w14:textId="77777777" w:rsidR="005638EE" w:rsidRPr="00F71873" w:rsidRDefault="005638EE" w:rsidP="00F61852">
      <w:pPr>
        <w:pStyle w:val="TextosemFormata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GABINETE DO PREFEITO MUNICIPAL DE VILA LÂNGARO</w:t>
      </w:r>
    </w:p>
    <w:p w14:paraId="75491AC0" w14:textId="67232D20" w:rsidR="005638EE" w:rsidRPr="00F71873" w:rsidRDefault="005638EE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Pr="00F71873">
        <w:rPr>
          <w:rFonts w:ascii="Times New Roman" w:hAnsi="Times New Roman" w:cs="Times New Roman"/>
          <w:sz w:val="24"/>
          <w:szCs w:val="24"/>
        </w:rPr>
        <w:tab/>
      </w:r>
      <w:r w:rsidR="002F1021" w:rsidRPr="00F71873">
        <w:rPr>
          <w:rFonts w:ascii="Times New Roman" w:hAnsi="Times New Roman" w:cs="Times New Roman"/>
          <w:sz w:val="24"/>
          <w:szCs w:val="24"/>
        </w:rPr>
        <w:t>0</w:t>
      </w:r>
      <w:r w:rsidR="00462B9B">
        <w:rPr>
          <w:rFonts w:ascii="Times New Roman" w:hAnsi="Times New Roman" w:cs="Times New Roman"/>
          <w:sz w:val="24"/>
          <w:szCs w:val="24"/>
        </w:rPr>
        <w:t>1</w:t>
      </w: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="00F71873">
        <w:rPr>
          <w:rFonts w:ascii="Times New Roman" w:hAnsi="Times New Roman" w:cs="Times New Roman"/>
          <w:sz w:val="24"/>
          <w:szCs w:val="24"/>
        </w:rPr>
        <w:t>de</w:t>
      </w: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="00F71873" w:rsidRPr="00F71873">
        <w:rPr>
          <w:rFonts w:ascii="Times New Roman" w:hAnsi="Times New Roman" w:cs="Times New Roman"/>
          <w:sz w:val="24"/>
          <w:szCs w:val="24"/>
        </w:rPr>
        <w:t>dezembro</w:t>
      </w:r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r w:rsidR="00F71873">
        <w:rPr>
          <w:rFonts w:ascii="Times New Roman" w:hAnsi="Times New Roman" w:cs="Times New Roman"/>
          <w:sz w:val="24"/>
          <w:szCs w:val="24"/>
        </w:rPr>
        <w:t>de</w:t>
      </w:r>
      <w:r w:rsidRPr="00F71873">
        <w:rPr>
          <w:rFonts w:ascii="Times New Roman" w:hAnsi="Times New Roman" w:cs="Times New Roman"/>
          <w:sz w:val="24"/>
          <w:szCs w:val="24"/>
        </w:rPr>
        <w:t xml:space="preserve"> 202</w:t>
      </w:r>
      <w:r w:rsidR="00462B9B">
        <w:rPr>
          <w:rFonts w:ascii="Times New Roman" w:hAnsi="Times New Roman" w:cs="Times New Roman"/>
          <w:sz w:val="24"/>
          <w:szCs w:val="24"/>
        </w:rPr>
        <w:t>3</w:t>
      </w:r>
    </w:p>
    <w:p w14:paraId="10942B98" w14:textId="77777777" w:rsidR="005638EE" w:rsidRPr="00F71873" w:rsidRDefault="005638EE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</w:p>
    <w:p w14:paraId="1F5912CE" w14:textId="1BD0207F" w:rsidR="005638EE" w:rsidRDefault="005638EE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</w:p>
    <w:p w14:paraId="1A7B57F2" w14:textId="77777777" w:rsidR="00FF57C3" w:rsidRPr="00F71873" w:rsidRDefault="00FF57C3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</w:p>
    <w:p w14:paraId="37331F3C" w14:textId="57E99FD4" w:rsidR="005638EE" w:rsidRPr="00F71873" w:rsidRDefault="00F71873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1873">
        <w:rPr>
          <w:rFonts w:ascii="Times New Roman" w:hAnsi="Times New Roman" w:cs="Times New Roman"/>
          <w:sz w:val="24"/>
          <w:szCs w:val="24"/>
        </w:rPr>
        <w:t>Anildo</w:t>
      </w:r>
      <w:proofErr w:type="spellEnd"/>
      <w:r w:rsidRPr="00F7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71873">
        <w:rPr>
          <w:rFonts w:ascii="Times New Roman" w:hAnsi="Times New Roman" w:cs="Times New Roman"/>
          <w:sz w:val="24"/>
          <w:szCs w:val="24"/>
        </w:rPr>
        <w:t>ostella</w:t>
      </w:r>
      <w:proofErr w:type="spellEnd"/>
    </w:p>
    <w:p w14:paraId="3F4215B1" w14:textId="0460C06B" w:rsidR="005638EE" w:rsidRPr="00F71873" w:rsidRDefault="00F71873" w:rsidP="00F61852">
      <w:pPr>
        <w:pStyle w:val="TextosemFormatao"/>
        <w:jc w:val="right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71873">
        <w:rPr>
          <w:rFonts w:ascii="Times New Roman" w:hAnsi="Times New Roman" w:cs="Times New Roman"/>
          <w:sz w:val="24"/>
          <w:szCs w:val="24"/>
        </w:rPr>
        <w:t>unicipal</w:t>
      </w:r>
    </w:p>
    <w:p w14:paraId="6546F96C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DB8111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F36B66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>Registre-se e publique-se.</w:t>
      </w:r>
    </w:p>
    <w:p w14:paraId="166C1C92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0D1E6" w14:textId="08E98E0C" w:rsidR="005638EE" w:rsidRDefault="005638EE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B1F81" w14:textId="77777777" w:rsidR="00FF57C3" w:rsidRPr="00F71873" w:rsidRDefault="00FF57C3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13B9E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91F25" w14:textId="3CFB10F8" w:rsidR="005638EE" w:rsidRPr="0001294A" w:rsidRDefault="00F71873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94A">
        <w:rPr>
          <w:rFonts w:ascii="Times New Roman" w:hAnsi="Times New Roman" w:cs="Times New Roman"/>
          <w:sz w:val="24"/>
          <w:szCs w:val="24"/>
        </w:rPr>
        <w:t>Rodrigo Milani</w:t>
      </w:r>
    </w:p>
    <w:p w14:paraId="455CCD4C" w14:textId="226D7E4D" w:rsidR="005638EE" w:rsidRPr="00F71873" w:rsidRDefault="00F71873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1873">
        <w:rPr>
          <w:rFonts w:ascii="Times New Roman" w:hAnsi="Times New Roman" w:cs="Times New Roman"/>
          <w:sz w:val="24"/>
          <w:szCs w:val="24"/>
        </w:rPr>
        <w:t xml:space="preserve">Secretário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71873">
        <w:rPr>
          <w:rFonts w:ascii="Times New Roman" w:hAnsi="Times New Roman" w:cs="Times New Roman"/>
          <w:sz w:val="24"/>
          <w:szCs w:val="24"/>
        </w:rPr>
        <w:t xml:space="preserve">e Administração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1873">
        <w:rPr>
          <w:rFonts w:ascii="Times New Roman" w:hAnsi="Times New Roman" w:cs="Times New Roman"/>
          <w:sz w:val="24"/>
          <w:szCs w:val="24"/>
        </w:rPr>
        <w:t xml:space="preserve"> Planejamento</w:t>
      </w:r>
    </w:p>
    <w:p w14:paraId="143CA405" w14:textId="77777777" w:rsidR="005638EE" w:rsidRPr="00F71873" w:rsidRDefault="005638EE" w:rsidP="00F6185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8EE" w:rsidRPr="00F71873" w:rsidSect="00FF57C3">
      <w:pgSz w:w="11906" w:h="16838"/>
      <w:pgMar w:top="2410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503F" w14:textId="77777777" w:rsidR="00FE4EE7" w:rsidRDefault="00FE4EE7" w:rsidP="006F326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959E54" w14:textId="77777777" w:rsidR="00FE4EE7" w:rsidRDefault="00FE4EE7" w:rsidP="006F326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0B43" w14:textId="77777777" w:rsidR="00FE4EE7" w:rsidRDefault="00FE4EE7" w:rsidP="006F326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5A920A" w14:textId="77777777" w:rsidR="00FE4EE7" w:rsidRDefault="00FE4EE7" w:rsidP="006F326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60"/>
    <w:rsid w:val="0001294A"/>
    <w:rsid w:val="00030E51"/>
    <w:rsid w:val="0005042D"/>
    <w:rsid w:val="000570C6"/>
    <w:rsid w:val="000F0443"/>
    <w:rsid w:val="00107CD1"/>
    <w:rsid w:val="001264DE"/>
    <w:rsid w:val="00126607"/>
    <w:rsid w:val="00150EDB"/>
    <w:rsid w:val="0015156E"/>
    <w:rsid w:val="00176263"/>
    <w:rsid w:val="00203323"/>
    <w:rsid w:val="00211345"/>
    <w:rsid w:val="00237672"/>
    <w:rsid w:val="0025129B"/>
    <w:rsid w:val="002F1021"/>
    <w:rsid w:val="002F552B"/>
    <w:rsid w:val="0031293F"/>
    <w:rsid w:val="00333963"/>
    <w:rsid w:val="003649CB"/>
    <w:rsid w:val="003C159D"/>
    <w:rsid w:val="00413A26"/>
    <w:rsid w:val="0045734B"/>
    <w:rsid w:val="00462B9B"/>
    <w:rsid w:val="004940BA"/>
    <w:rsid w:val="004B1EBA"/>
    <w:rsid w:val="004B4F97"/>
    <w:rsid w:val="004E31F9"/>
    <w:rsid w:val="004F1E0B"/>
    <w:rsid w:val="005020FC"/>
    <w:rsid w:val="00511BEF"/>
    <w:rsid w:val="005638EE"/>
    <w:rsid w:val="00597C9A"/>
    <w:rsid w:val="005D2C03"/>
    <w:rsid w:val="00613080"/>
    <w:rsid w:val="00651E19"/>
    <w:rsid w:val="0066537D"/>
    <w:rsid w:val="006656FD"/>
    <w:rsid w:val="006F3260"/>
    <w:rsid w:val="007045D5"/>
    <w:rsid w:val="00717DE0"/>
    <w:rsid w:val="00736632"/>
    <w:rsid w:val="007C0BA0"/>
    <w:rsid w:val="0080140A"/>
    <w:rsid w:val="00810B13"/>
    <w:rsid w:val="00850353"/>
    <w:rsid w:val="008550E8"/>
    <w:rsid w:val="00876E2E"/>
    <w:rsid w:val="008B4D59"/>
    <w:rsid w:val="008C6AC4"/>
    <w:rsid w:val="00927493"/>
    <w:rsid w:val="00944A82"/>
    <w:rsid w:val="00945763"/>
    <w:rsid w:val="00950A2D"/>
    <w:rsid w:val="009D3F9C"/>
    <w:rsid w:val="009E4D76"/>
    <w:rsid w:val="009F79CC"/>
    <w:rsid w:val="00A143E9"/>
    <w:rsid w:val="00A1689B"/>
    <w:rsid w:val="00A43C69"/>
    <w:rsid w:val="00AD02EF"/>
    <w:rsid w:val="00B055DB"/>
    <w:rsid w:val="00B07858"/>
    <w:rsid w:val="00B13A02"/>
    <w:rsid w:val="00B37388"/>
    <w:rsid w:val="00B711D9"/>
    <w:rsid w:val="00B77816"/>
    <w:rsid w:val="00BE14DC"/>
    <w:rsid w:val="00C22D40"/>
    <w:rsid w:val="00C71303"/>
    <w:rsid w:val="00C86F9F"/>
    <w:rsid w:val="00CC7EFB"/>
    <w:rsid w:val="00CD675B"/>
    <w:rsid w:val="00CF67F5"/>
    <w:rsid w:val="00D5362C"/>
    <w:rsid w:val="00D87FB1"/>
    <w:rsid w:val="00D94326"/>
    <w:rsid w:val="00DF321C"/>
    <w:rsid w:val="00EA59F4"/>
    <w:rsid w:val="00F6021E"/>
    <w:rsid w:val="00F61852"/>
    <w:rsid w:val="00F640A2"/>
    <w:rsid w:val="00F64A10"/>
    <w:rsid w:val="00F71873"/>
    <w:rsid w:val="00FE4EE7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D79A4"/>
  <w15:docId w15:val="{1936725D-6726-A44C-BDE9-F1A723D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6F3260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Quote1"/>
    <w:basedOn w:val="Normal"/>
    <w:next w:val="Normal"/>
    <w:link w:val="CorpodetextoChar"/>
    <w:uiPriority w:val="99"/>
    <w:rsid w:val="006F3260"/>
    <w:pPr>
      <w:tabs>
        <w:tab w:val="right" w:pos="2268"/>
        <w:tab w:val="right" w:pos="2835"/>
        <w:tab w:val="right" w:pos="3119"/>
        <w:tab w:val="left" w:pos="4253"/>
      </w:tabs>
      <w:ind w:left="2268"/>
    </w:pPr>
  </w:style>
  <w:style w:type="character" w:customStyle="1" w:styleId="CorpodetextoChar">
    <w:name w:val="Corpo de texto Char"/>
    <w:aliases w:val="Quote1 Char"/>
    <w:basedOn w:val="Fontepargpadro"/>
    <w:link w:val="Corpodetexto"/>
    <w:uiPriority w:val="99"/>
    <w:locked/>
    <w:rsid w:val="006F3260"/>
    <w:rPr>
      <w:rFonts w:ascii="Arial" w:hAnsi="Arial" w:cs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F3260"/>
    <w:rPr>
      <w:rFonts w:ascii="Times New Roman" w:hAnsi="Times New Roman" w:cs="Times New Roman"/>
      <w:sz w:val="20"/>
      <w:szCs w:val="20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6F3260"/>
    <w:rPr>
      <w:rFonts w:ascii="Times New Roman" w:hAnsi="Times New Roman" w:cs="Times New Roman"/>
      <w:sz w:val="20"/>
      <w:szCs w:val="20"/>
      <w:lang w:eastAsia="hi-IN" w:bidi="hi-IN"/>
    </w:rPr>
  </w:style>
  <w:style w:type="character" w:styleId="Refdenotaderodap">
    <w:name w:val="footnote reference"/>
    <w:basedOn w:val="Fontepargpadro"/>
    <w:uiPriority w:val="99"/>
    <w:semiHidden/>
    <w:rsid w:val="006F3260"/>
    <w:rPr>
      <w:rFonts w:ascii="Arial" w:hAnsi="Arial" w:cs="Arial"/>
      <w:sz w:val="20"/>
      <w:szCs w:val="20"/>
      <w:vertAlign w:val="superscript"/>
    </w:rPr>
  </w:style>
  <w:style w:type="paragraph" w:customStyle="1" w:styleId="western">
    <w:name w:val="western"/>
    <w:basedOn w:val="Normal"/>
    <w:uiPriority w:val="99"/>
    <w:rsid w:val="006F3260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rsid w:val="006F3260"/>
    <w:pPr>
      <w:tabs>
        <w:tab w:val="clear" w:pos="1701"/>
      </w:tabs>
      <w:spacing w:before="0" w:after="0" w:line="240" w:lineRule="auto"/>
      <w:ind w:left="5103" w:right="-568"/>
    </w:pPr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locked/>
    <w:rsid w:val="0025129B"/>
    <w:pPr>
      <w:tabs>
        <w:tab w:val="clear" w:pos="1701"/>
      </w:tabs>
      <w:spacing w:before="0" w:after="0" w:line="240" w:lineRule="auto"/>
      <w:jc w:val="center"/>
    </w:pPr>
    <w:rPr>
      <w:rFonts w:eastAsia="Calibri" w:cs="Times New Roman"/>
      <w:b/>
      <w:bCs/>
      <w:sz w:val="24"/>
      <w:szCs w:val="24"/>
    </w:rPr>
  </w:style>
  <w:style w:type="character" w:customStyle="1" w:styleId="TitleChar">
    <w:name w:val="Title Char"/>
    <w:basedOn w:val="Fontepargpadro"/>
    <w:uiPriority w:val="10"/>
    <w:rsid w:val="00345A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5129B"/>
    <w:rPr>
      <w:b/>
      <w:bCs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F61852"/>
    <w:pPr>
      <w:tabs>
        <w:tab w:val="clear" w:pos="1701"/>
      </w:tabs>
      <w:spacing w:before="0" w:after="0"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45AAA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40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4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3338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Administração PMVL</cp:lastModifiedBy>
  <cp:revision>8</cp:revision>
  <cp:lastPrinted>2023-11-29T14:19:00Z</cp:lastPrinted>
  <dcterms:created xsi:type="dcterms:W3CDTF">2023-11-29T14:06:00Z</dcterms:created>
  <dcterms:modified xsi:type="dcterms:W3CDTF">2023-12-01T16:46:00Z</dcterms:modified>
</cp:coreProperties>
</file>